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  <w:r>
        <w:rPr>
          <w:rFonts w:ascii="Microsoft YaHei" w:hAnsi="Microsoft YaHei"/>
          <w:b w:val="0"/>
          <w:color w:val="1D4ED8"/>
          <w:sz w:val="17"/>
        </w:rPr>
      </w:r>
      <w:r>
        <w:rPr>
          <w:rFonts w:ascii="Microsoft YaHei" w:hAnsi="Microsoft YaHei"/>
          <w:b w:val="0"/>
          <w:color w:val="1D4ED8"/>
          <w:sz w:val="17"/>
        </w:rPr>
        <w:t xml:space="preserve">No.20 · LEVEL 03 · AI </w:t>
      </w:r>
      <w:r>
        <w:rPr>
          <w:rFonts w:ascii="Microsoft YaHei" w:hAnsi="Microsoft YaHei" w:eastAsia="Microsoft YaHei" w:cs="Microsoft YaHei" w:hint="eastAsia"/>
          <w:b w:val="0"/>
          <w:color w:val="1D4ED8"/>
          <w:sz w:val="17"/>
          <w:lang w:eastAsia="zh-CN"/>
        </w:rPr>
        <w:t>战略与领导力</w:t>
      </w:r>
    </w:p>
    <w:p>
      <w:pPr>
        <w:pStyle w:val="Heading1"/>
      </w:pPr>
      <w:r>
        <w:rPr>
          <w:rFonts w:ascii="Microsoft YaHei" w:eastAsia="Microsoft YaHei" w:hAnsi="Microsoft YaHei" w:cs="Microsoft YaHei" w:hint="eastAsia"/>
          <w:lang w:eastAsia="zh-CN"/>
        </w:rPr>
        <w:t>AI战略与领导力：AI驱动的行业颠覆与战略机会识别</w:t>
      </w:r>
    </w:p>
    <w:p>
      <w:pPr/>
      <w:r>
        <w:rPr>
          <w:rFonts w:ascii="Microsoft YaHei" w:hAnsi="Microsoft YaHei" w:eastAsia="Microsoft YaHei" w:cs="Microsoft YaHei" w:hint="eastAsia"/>
          <w:color w:val="4B5563"/>
          <w:sz w:val="22"/>
          <w:lang w:eastAsia="zh-CN"/>
        </w:rPr>
        <w:t>理解</w:t>
      </w:r>
      <w:r>
        <w:rPr>
          <w:rFonts w:ascii="Microsoft YaHei" w:hAnsi="Microsoft YaHei"/>
          <w:color w:val="4B5563"/>
          <w:sz w:val="22"/>
        </w:rPr>
        <w:t xml:space="preserve"> AI </w:t>
      </w:r>
      <w:r>
        <w:rPr>
          <w:rFonts w:ascii="Microsoft YaHei" w:hAnsi="Microsoft YaHei" w:eastAsia="Microsoft YaHei" w:cs="Microsoft YaHei" w:hint="eastAsia"/>
          <w:color w:val="4B5563"/>
          <w:sz w:val="22"/>
          <w:lang w:eastAsia="zh-CN"/>
        </w:rPr>
        <w:t>对行业格局与竞争方式的改变。帮助企业识别真正值得投入的</w:t>
      </w:r>
      <w:r>
        <w:rPr>
          <w:rFonts w:ascii="Microsoft YaHei" w:hAnsi="Microsoft YaHei"/>
          <w:color w:val="4B5563"/>
          <w:sz w:val="22"/>
        </w:rPr>
        <w:t xml:space="preserve"> AI </w:t>
      </w:r>
      <w:r>
        <w:rPr>
          <w:rFonts w:ascii="Microsoft YaHei" w:hAnsi="Microsoft YaHei" w:eastAsia="Microsoft YaHei" w:cs="Microsoft YaHei" w:hint="eastAsia"/>
          <w:color w:val="4B5563"/>
          <w:sz w:val="22"/>
          <w:lang w:eastAsia="zh-CN"/>
        </w:rPr>
        <w:t>机会。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  <w:shd w:val="clear" w:color="auto" w:fill="EEF3FF"/>
            <w:tcBorders>
              <w:left w:val="single" w:sz="24" w:space="0" w:color="1D4ED8"/>
            </w:tcBorders>
          </w:tcPr>
          <w:p>
            <w:pPr>
              <w:spacing w:before="120" w:after="40"/>
              <w:pBdr>
                <w:left w:val="none" w:sz="6" w:space="0" w:color="1D4ED8"/>
              </w:pBdr>
              <w:shd w:val="clear" w:color="auto" w:fill="EEF3FF"/>
            </w:pPr>
            <w:r>
              <w:rPr>
                <w:color w:val="1C2637"/>
              </w:rPr>
              <w:t>课程时长</w:t>
            </w:r>
            <w:r>
              <w:t>：</w:t>
            </w:r>
            <w:r>
              <w:t xml:space="preserve">1 </w:t>
            </w:r>
            <w:r>
              <w:t>天</w:t>
            </w:r>
            <w:r>
              <w:t xml:space="preserve"> · 6 </w:t>
            </w:r>
            <w:r>
              <w:t>小时</w:t>
            </w:r>
          </w:p>
          <w:p>
            <w:pPr>
              <w:spacing w:before="40" w:after="40"/>
              <w:pBdr>
                <w:left w:val="none" w:sz="6" w:space="0" w:color="1D4ED8"/>
              </w:pBdr>
              <w:shd w:val="clear" w:color="auto" w:fill="EEF3FF"/>
            </w:pPr>
            <w:r>
              <w:rPr>
                <w:color w:val="1C2637"/>
              </w:rPr>
              <w:t>授课对象</w:t>
            </w:r>
            <w:r>
              <w:t>：高管、企业老板、</w:t>
            </w:r>
            <w:r>
              <w:t>CEO</w:t>
            </w:r>
            <w:r>
              <w:t>、战略负责人</w:t>
            </w:r>
          </w:p>
          <w:p>
            <w:pPr>
              <w:spacing w:before="40" w:after="40"/>
              <w:pBdr>
                <w:left w:val="none" w:sz="6" w:space="0" w:color="1D4ED8"/>
              </w:pBdr>
              <w:shd w:val="clear" w:color="auto" w:fill="EEF3FF"/>
            </w:pPr>
            <w:r>
              <w:rPr>
                <w:color w:val="1C2637"/>
              </w:rPr>
              <w:t>授课语言</w:t>
            </w:r>
            <w:r>
              <w:t>：国语</w:t>
            </w:r>
            <w:r>
              <w:t xml:space="preserve"> / </w:t>
            </w:r>
            <w:r>
              <w:t>英语</w:t>
            </w:r>
            <w:r>
              <w:t xml:space="preserve"> / </w:t>
            </w:r>
            <w:r>
              <w:t>粤语</w:t>
            </w:r>
          </w:p>
          <w:p>
            <w:pPr>
              <w:spacing w:before="40" w:after="120"/>
              <w:pBdr>
                <w:left w:val="none" w:sz="6" w:space="0" w:color="1D4ED8"/>
              </w:pBdr>
              <w:shd w:val="clear" w:color="auto" w:fill="EEF3FF"/>
            </w:pPr>
            <w:r>
              <w:rPr>
                <w:color w:val="1C2637"/>
              </w:rPr>
              <w:t>课程形式</w:t>
            </w:r>
            <w:r>
              <w:t>：原理讲解</w:t>
            </w:r>
            <w:r>
              <w:t xml:space="preserve"> + </w:t>
            </w:r>
            <w:r>
              <w:t>案例演示</w:t>
            </w:r>
            <w:r>
              <w:t xml:space="preserve"> + </w:t>
            </w:r>
            <w:r>
              <w:t>场景实操</w:t>
            </w:r>
          </w:p>
        </w:tc>
      </w:tr>
    </w:tbl>
    <w:p>
      <w:pPr>
        <w:spacing w:before="280"/>
      </w:pP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主讲：杨洪　｜　资深</w:t>
      </w:r>
      <w:r>
        <w:rPr>
          <w:rFonts w:ascii="Microsoft YaHei" w:hAnsi="Microsoft YaHei"/>
          <w:color w:val="8B95A7"/>
          <w:sz w:val="18"/>
        </w:rPr>
        <w:t xml:space="preserve"> AI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培训师</w:t>
      </w:r>
      <w:r>
        <w:rPr>
          <w:rFonts w:ascii="Microsoft YaHei" w:hAnsi="Microsoft YaHei"/>
          <w:color w:val="8B95A7"/>
          <w:sz w:val="18"/>
        </w:rPr>
        <w:t xml:space="preserve"> · 15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年世界</w:t>
      </w:r>
      <w:r>
        <w:rPr>
          <w:rFonts w:ascii="Microsoft YaHei" w:hAnsi="Microsoft YaHei"/>
          <w:color w:val="8B95A7"/>
          <w:sz w:val="18"/>
        </w:rPr>
        <w:t xml:space="preserve"> 500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强企业高管　｜　中</w:t>
      </w:r>
      <w:r>
        <w:rPr>
          <w:rFonts w:ascii="Microsoft YaHei" w:hAnsi="Microsoft YaHei"/>
          <w:color w:val="8B95A7"/>
          <w:sz w:val="18"/>
        </w:rPr>
        <w:t xml:space="preserve"> /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英</w:t>
      </w:r>
      <w:r>
        <w:rPr>
          <w:rFonts w:ascii="Microsoft YaHei" w:hAnsi="Microsoft YaHei"/>
          <w:color w:val="8B95A7"/>
          <w:sz w:val="18"/>
        </w:rPr>
        <w:t xml:space="preserve"> /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粤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三语授课</w:t>
      </w:r>
      <w:r/>
      <w:r/>
      <w:r/>
    </w:p>
    <w:p>
      <w:pPr>
        <w:sectPr>
          <w:footerReference w:type="default" r:id="rId9"/>
          <w:type w:val="nextPage"/>
          <w:pgSz w:w="11906" w:h="16838"/>
          <w:pgMar w:top="1247" w:bottom="1247" w:left="1361" w:right="1361"/>
        </w:sectPr>
      </w:pPr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01　课程背景</w:t>
      </w:r>
    </w:p>
    <w:p>
      <w:pPr/>
      <w:r>
        <w:rPr>
          <w:rFonts w:ascii="Microsoft YaHei" w:eastAsia="Microsoft YaHei" w:hAnsi="Microsoft YaHei" w:cs="Microsoft YaHei" w:hint="eastAsia"/>
          <w:lang w:eastAsia="zh-CN"/>
        </w:rPr>
        <w:t>生成式人工智能（</w:t>
      </w:r>
      <w:r>
        <w:t>AIGC</w:t>
      </w:r>
      <w:r>
        <w:rPr>
          <w:rFonts w:ascii="Microsoft YaHei" w:eastAsia="Microsoft YaHei" w:hAnsi="Microsoft YaHei" w:cs="Microsoft YaHei" w:hint="eastAsia"/>
          <w:lang w:eastAsia="zh-CN"/>
        </w:rPr>
        <w:t>）的快速发展，正在从根本上改变企业的决策方式、组织结构与竞争逻辑。</w:t>
      </w:r>
      <w:r>
        <w:t xml:space="preserve">AI </w:t>
      </w:r>
      <w:r>
        <w:rPr>
          <w:rFonts w:ascii="Microsoft YaHei" w:eastAsia="Microsoft YaHei" w:hAnsi="Microsoft YaHei" w:cs="Microsoft YaHei" w:hint="eastAsia"/>
          <w:lang w:eastAsia="zh-CN"/>
        </w:rPr>
        <w:t>不再只是提升效率的工具，而正在成为一种新的生产要素和决策变量，深度影响企业的增长路径、成本结构与长期战略选择。基于此背景，本课程并不以技术教学或工具应用为目标，而是聚焦于</w:t>
      </w:r>
      <w:r>
        <w:t xml:space="preserve">AI </w:t>
      </w:r>
      <w:r>
        <w:rPr>
          <w:rFonts w:ascii="Microsoft YaHei" w:eastAsia="Microsoft YaHei" w:hAnsi="Microsoft YaHei" w:cs="Microsoft YaHei" w:hint="eastAsia"/>
          <w:lang w:eastAsia="zh-CN"/>
        </w:rPr>
        <w:t>时代的高管决策能力重构。课程将帮助学员在有限时间内完成必要的</w:t>
      </w:r>
      <w:r>
        <w:t xml:space="preserve"> AI </w:t>
      </w:r>
      <w:r>
        <w:rPr>
          <w:rFonts w:ascii="Microsoft YaHei" w:eastAsia="Microsoft YaHei" w:hAnsi="Microsoft YaHei" w:cs="Microsoft YaHei" w:hint="eastAsia"/>
          <w:lang w:eastAsia="zh-CN"/>
        </w:rPr>
        <w:t>认知启蒙，建立清晰、理性的判断框架，系统理解</w:t>
      </w:r>
      <w:r>
        <w:t xml:space="preserve"> AI </w:t>
      </w:r>
      <w:r>
        <w:rPr>
          <w:rFonts w:ascii="Microsoft YaHei" w:eastAsia="Microsoft YaHei" w:hAnsi="Microsoft YaHei" w:cs="Microsoft YaHei" w:hint="eastAsia"/>
          <w:lang w:eastAsia="zh-CN"/>
        </w:rPr>
        <w:t>对企业战略、组织与治理的深层影响。</w:t>
      </w:r>
    </w:p>
    <w:p>
      <w:pPr/>
      <w:r>
        <w:rPr>
          <w:rFonts w:ascii="Microsoft YaHei" w:eastAsia="Microsoft YaHei" w:hAnsi="Microsoft YaHei" w:cs="Microsoft YaHei" w:hint="eastAsia"/>
          <w:lang w:eastAsia="zh-CN"/>
        </w:rPr>
        <w:t>通过结合趋势解读、真实案例与决策模型，本课程旨在提升管理层在</w:t>
      </w:r>
      <w:r>
        <w:t xml:space="preserve"> AI </w:t>
      </w:r>
      <w:r>
        <w:rPr>
          <w:rFonts w:ascii="Microsoft YaHei" w:eastAsia="Microsoft YaHei" w:hAnsi="Microsoft YaHei" w:cs="Microsoft YaHei" w:hint="eastAsia"/>
          <w:lang w:eastAsia="zh-CN"/>
        </w:rPr>
        <w:t>时代判断方向、做出取舍、把握节奏、管控风险的能力，为企业在不确定环境中的持续增长与稳健发展提供决策支持。</w:t>
      </w:r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02　课程收益</w:t>
      </w:r>
    </w:p>
    <w:p>
      <w:pPr>
        <w:spacing w:before="0" w:after="160"/>
      </w:pPr>
      <w:r>
        <w:rPr>
          <w:rFonts w:ascii="Microsoft YaHei" w:hAnsi="Microsoft YaHei"/>
          <w:color w:val="8B95A7"/>
          <w:sz w:val="19"/>
        </w:rPr>
        <w:t xml:space="preserve">5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项可带走的能力</w:t>
      </w:r>
      <w:r>
        <w:rPr>
          <w:rFonts w:ascii="Microsoft YaHei" w:hAnsi="Microsoft YaHei"/>
          <w:color w:val="8B95A7"/>
          <w:sz w:val="19"/>
        </w:rPr>
        <w:t>——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建立高管级</w:t>
      </w:r>
      <w:r>
        <w:rPr>
          <w:rFonts w:ascii="Microsoft YaHei" w:hAnsi="Microsoft YaHei"/>
          <w:color w:val="8B95A7"/>
          <w:sz w:val="19"/>
        </w:rPr>
        <w:t xml:space="preserve"> AI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认知框架</w:t>
      </w:r>
      <w:r>
        <w:rPr>
          <w:rFonts w:ascii="Microsoft YaHei" w:hAnsi="Microsoft YaHei"/>
          <w:color w:val="8B95A7"/>
          <w:sz w:val="19"/>
        </w:rPr>
        <w:t>——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让</w:t>
      </w:r>
      <w:r>
        <w:rPr>
          <w:rFonts w:ascii="Microsoft YaHei" w:hAnsi="Microsoft YaHei"/>
          <w:color w:val="8B95A7"/>
          <w:sz w:val="19"/>
        </w:rPr>
        <w:t xml:space="preserve"> AI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从「工具概念」升级为「决策能力」。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01　战略变量判别</w:t>
      </w:r>
      <w:r>
        <w:rPr>
          <w:rFonts w:ascii="Microsoft YaHei" w:eastAsia="Microsoft YaHei" w:hAnsi="Microsoft YaHei" w:cs="Microsoft YaHei" w:hint="eastAsia"/>
          <w:lang w:eastAsia="zh-CN"/>
        </w:rPr>
        <w:t>：判断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是否构成企业的战略级变量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02　投资取舍有度</w:t>
      </w:r>
      <w:r>
        <w:rPr>
          <w:rFonts w:ascii="Microsoft YaHei" w:eastAsia="Microsoft YaHei" w:hAnsi="Microsoft YaHei" w:cs="Microsoft YaHei" w:hint="eastAsia"/>
          <w:lang w:eastAsia="zh-CN"/>
        </w:rPr>
        <w:t>：提升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投资与项目的取舍能力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03　转型节奏设计</w:t>
      </w:r>
      <w:r>
        <w:rPr>
          <w:rFonts w:ascii="Microsoft YaHei" w:eastAsia="Microsoft YaHei" w:hAnsi="Microsoft YaHei" w:cs="Microsoft YaHei" w:hint="eastAsia"/>
          <w:lang w:eastAsia="zh-CN"/>
        </w:rPr>
        <w:t>：掌握企业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转型的节奏设计方法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04　组织治理应对</w:t>
      </w:r>
      <w:r>
        <w:rPr>
          <w:rFonts w:ascii="Microsoft YaHei" w:eastAsia="Microsoft YaHei" w:hAnsi="Microsoft YaHei" w:cs="Microsoft YaHei" w:hint="eastAsia"/>
          <w:lang w:eastAsia="zh-CN"/>
        </w:rPr>
        <w:t>：应对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带来的组织、治理与合规挑战</w:t>
      </w:r>
    </w:p>
    <w:p>
      <w:pPr>
        <w:spacing w:before="40" w:after="120"/>
      </w:pPr>
      <w:r>
        <w:rPr>
          <w:rFonts w:ascii="Microsoft YaHei" w:eastAsia="Microsoft YaHei" w:hAnsi="Microsoft YaHei" w:cs="Microsoft YaHei" w:hint="eastAsia"/>
          <w:b w:val="0"/>
          <w:color w:val="1C2637"/>
          <w:lang w:eastAsia="zh-CN"/>
        </w:rPr>
        <w:t>05　决策能力升级</w:t>
      </w:r>
      <w:r>
        <w:rPr>
          <w:rFonts w:ascii="Microsoft YaHei" w:eastAsia="Microsoft YaHei" w:hAnsi="Microsoft YaHei" w:cs="Microsoft YaHei" w:hint="eastAsia"/>
          <w:lang w:eastAsia="zh-CN"/>
        </w:rPr>
        <w:t>：将</w:t>
      </w:r>
      <w:r>
        <w:t>AI</w:t>
      </w:r>
      <w:r>
        <w:rPr>
          <w:rFonts w:ascii="Microsoft YaHei" w:eastAsia="Microsoft YaHei" w:hAnsi="Microsoft YaHei" w:cs="Microsoft YaHei" w:hint="eastAsia"/>
          <w:lang w:eastAsia="zh-CN"/>
        </w:rPr>
        <w:t>从</w:t>
      </w:r>
      <w:r>
        <w:t>“</w:t>
      </w:r>
      <w:r>
        <w:rPr>
          <w:rFonts w:ascii="Microsoft YaHei" w:eastAsia="Microsoft YaHei" w:hAnsi="Microsoft YaHei" w:cs="Microsoft YaHei" w:hint="eastAsia"/>
          <w:lang w:eastAsia="zh-CN"/>
        </w:rPr>
        <w:t>工具概念</w:t>
      </w:r>
      <w:r>
        <w:t>”</w:t>
      </w:r>
      <w:r>
        <w:rPr>
          <w:rFonts w:ascii="Microsoft YaHei" w:eastAsia="Microsoft YaHei" w:hAnsi="Microsoft YaHei" w:cs="Microsoft YaHei" w:hint="eastAsia"/>
          <w:lang w:eastAsia="zh-CN"/>
        </w:rPr>
        <w:t>升级为</w:t>
      </w:r>
      <w:r>
        <w:t>“</w:t>
      </w:r>
      <w:r>
        <w:rPr>
          <w:rFonts w:ascii="Microsoft YaHei" w:eastAsia="Microsoft YaHei" w:hAnsi="Microsoft YaHei" w:cs="Microsoft YaHei" w:hint="eastAsia"/>
          <w:lang w:eastAsia="zh-CN"/>
        </w:rPr>
        <w:t>决策能力</w:t>
      </w:r>
      <w:r>
        <w:t>”</w:t>
      </w:r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03　授课方法与课堂呈现</w:t>
      </w:r>
    </w:p>
    <w:p>
      <w:pPr>
        <w:spacing w:before="0" w:after="160"/>
      </w:pP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不讲空理论</w:t>
      </w:r>
      <w:r>
        <w:rPr>
          <w:rFonts w:ascii="Microsoft YaHei" w:hAnsi="Microsoft YaHei"/>
          <w:color w:val="8B95A7"/>
          <w:sz w:val="19"/>
        </w:rPr>
        <w:t>——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每个知识点都配案例演示与现场实操。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幽默语言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：使用轻松幽默的语言。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案例分析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：分析案例，进行演示和实践。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场景教学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：场景化教学，提供方法和工具。</w:t>
      </w:r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04　课程大纲</w:t>
      </w:r>
    </w:p>
    <w:p>
      <w:pPr>
        <w:spacing w:before="0" w:after="160"/>
      </w:pPr>
      <w:r>
        <w:rPr>
          <w:rFonts w:ascii="Microsoft YaHei" w:hAnsi="Microsoft YaHei"/>
          <w:color w:val="8B95A7"/>
          <w:sz w:val="19"/>
        </w:rPr>
        <w:t xml:space="preserve">6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大模块</w:t>
      </w:r>
      <w:r>
        <w:rPr>
          <w:rFonts w:ascii="Microsoft YaHei" w:hAnsi="Microsoft YaHei"/>
          <w:color w:val="8B95A7"/>
          <w:sz w:val="19"/>
        </w:rPr>
        <w:t xml:space="preserve"> ·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共</w:t>
      </w:r>
      <w:r>
        <w:rPr>
          <w:rFonts w:ascii="Microsoft YaHei" w:hAnsi="Microsoft YaHei"/>
          <w:color w:val="8B95A7"/>
          <w:sz w:val="19"/>
        </w:rPr>
        <w:t xml:space="preserve"> 39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个知识要点。可按行业与岗位裁剪模块、调整实操比重。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一、AIGC启蒙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和</w:t>
      </w:r>
      <w:r>
        <w:rPr>
          <w:color w:val="4B5563"/>
          <w:sz w:val="21"/>
        </w:rPr>
        <w:t>AIGC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到底是什么？一个不讲算法的解释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为什么</w:t>
      </w:r>
      <w:r>
        <w:rPr>
          <w:color w:val="4B5563"/>
          <w:sz w:val="21"/>
        </w:rPr>
        <w:t xml:space="preserve"> 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在这两年突然爆发？三个原因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能干什么</w:t>
      </w:r>
      <w:r>
        <w:rPr>
          <w:color w:val="4B5563"/>
          <w:sz w:val="21"/>
        </w:rPr>
        <w:t xml:space="preserve"> &amp;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不能干什么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二、为什么AI是战略问题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为什么</w:t>
      </w:r>
      <w:r>
        <w:rPr>
          <w:color w:val="4B5563"/>
          <w:sz w:val="21"/>
        </w:rPr>
        <w:t>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是否拥抱</w:t>
      </w:r>
      <w:r>
        <w:rPr>
          <w:color w:val="4B5563"/>
          <w:sz w:val="21"/>
        </w:rPr>
        <w:t>AI”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已不再是选择题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演示：一个刺痛业务的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决策案例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一个残酷现实：</w:t>
      </w:r>
      <w:r>
        <w:rPr>
          <w:color w:val="4B5563"/>
          <w:sz w:val="21"/>
        </w:rPr>
        <w:t xml:space="preserve">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不一定帮你赢，但一定会改变别人赢你的方式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从三次技术浪潮看</w:t>
      </w:r>
      <w:r>
        <w:rPr>
          <w:color w:val="4B5563"/>
          <w:sz w:val="21"/>
        </w:rPr>
        <w:t xml:space="preserve"> 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的不同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是决策与认知革命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三、AI 到底是不是你的“战略级变量”</w:t>
      </w:r>
    </w:p>
    <w:p>
      <w:pPr>
        <w:pStyle w:val="ListBullet"/>
      </w:pPr>
      <w:r>
        <w:rPr>
          <w:color w:val="4B5563"/>
          <w:sz w:val="21"/>
        </w:rPr>
        <w:t xml:space="preserve">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改变了哪三条商业底层逻辑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边际成本趋近于零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专业能力被</w:t>
      </w:r>
      <w:r>
        <w:rPr>
          <w:color w:val="4B5563"/>
          <w:sz w:val="21"/>
        </w:rPr>
        <w:t>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语言化</w:t>
      </w:r>
      <w:r>
        <w:rPr>
          <w:color w:val="4B5563"/>
          <w:sz w:val="21"/>
        </w:rPr>
        <w:t>”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决策从</w:t>
      </w:r>
      <w:r>
        <w:rPr>
          <w:color w:val="4B5563"/>
          <w:sz w:val="21"/>
        </w:rPr>
        <w:t>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经验驱动</w:t>
      </w:r>
      <w:r>
        <w:rPr>
          <w:color w:val="4B5563"/>
          <w:sz w:val="21"/>
        </w:rPr>
        <w:t>”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走向</w:t>
      </w:r>
      <w:r>
        <w:rPr>
          <w:color w:val="4B5563"/>
          <w:sz w:val="21"/>
        </w:rPr>
        <w:t>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概率驱动</w:t>
      </w:r>
      <w:r>
        <w:rPr>
          <w:color w:val="4B5563"/>
          <w:sz w:val="21"/>
        </w:rPr>
        <w:t>”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三类企业的不同命运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原生型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放大型</w:t>
      </w:r>
    </w:p>
    <w:p>
      <w:pPr>
        <w:pStyle w:val="ListBullet2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防御型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战略判断讨论：我的企业是否需要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战略升级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四、学会取舍，提高AI项目成功率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为什么大多数</w:t>
      </w:r>
      <w:r>
        <w:rPr>
          <w:color w:val="4B5563"/>
          <w:sz w:val="21"/>
        </w:rPr>
        <w:t xml:space="preserve"> 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项目注定失败？常见</w:t>
      </w:r>
      <w:r>
        <w:rPr>
          <w:color w:val="4B5563"/>
          <w:sz w:val="21"/>
        </w:rPr>
        <w:t xml:space="preserve"> 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转型三大幻觉</w:t>
      </w:r>
    </w:p>
    <w:p>
      <w:pPr>
        <w:pStyle w:val="ListBullet"/>
      </w:pPr>
      <w:r>
        <w:rPr>
          <w:color w:val="4B5563"/>
          <w:sz w:val="21"/>
        </w:rPr>
        <w:t xml:space="preserve">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投资决策漏斗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是否是高频业务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是否有数据基础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是否能量化</w:t>
      </w:r>
      <w:r>
        <w:rPr>
          <w:color w:val="4B5563"/>
          <w:sz w:val="21"/>
        </w:rPr>
        <w:t>ROI</w:t>
      </w:r>
    </w:p>
    <w:p>
      <w:pPr>
        <w:pStyle w:val="ListBullet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应该优先做的三类</w:t>
      </w:r>
      <w:r>
        <w:rPr>
          <w:color w:val="4B5563"/>
          <w:sz w:val="21"/>
        </w:rPr>
        <w:t xml:space="preserve"> 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场景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降低决策成本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放大管理半径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压缩交付周期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案例拆解和分析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五、企业AI转型策略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 xml:space="preserve">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转型不是快慢问题，而是</w:t>
      </w:r>
      <w:r>
        <w:rPr>
          <w:color w:val="4B5563"/>
          <w:sz w:val="21"/>
        </w:rPr>
        <w:t>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节奏设计</w:t>
      </w:r>
      <w:r>
        <w:rPr>
          <w:color w:val="4B5563"/>
          <w:sz w:val="21"/>
        </w:rPr>
        <w:t>”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 xml:space="preserve">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转型三阶段模型：试点期</w:t>
      </w:r>
      <w:r>
        <w:rPr>
          <w:color w:val="4B5563"/>
          <w:sz w:val="21"/>
        </w:rPr>
        <w:t xml:space="preserve"> /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放大期</w:t>
      </w:r>
      <w:r>
        <w:rPr>
          <w:color w:val="4B5563"/>
          <w:sz w:val="21"/>
        </w:rPr>
        <w:t xml:space="preserve"> /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重构期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 xml:space="preserve">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的价值不是立刻变现，而是改变</w:t>
      </w:r>
      <w:r>
        <w:rPr>
          <w:color w:val="4B5563"/>
          <w:sz w:val="21"/>
        </w:rPr>
        <w:t>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做事方式</w:t>
      </w:r>
      <w:r>
        <w:rPr>
          <w:color w:val="4B5563"/>
          <w:sz w:val="21"/>
        </w:rPr>
        <w:t>”</w:t>
      </w:r>
    </w:p>
    <w:p>
      <w:pPr>
        <w:pStyle w:val="ListBullet"/>
      </w:pPr>
      <w:r>
        <w:rPr>
          <w:color w:val="4B5563"/>
          <w:sz w:val="21"/>
        </w:rPr>
        <w:t xml:space="preserve">AI KPI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设计误区</w:t>
      </w:r>
      <w:r>
        <w:rPr>
          <w:color w:val="4B5563"/>
          <w:sz w:val="21"/>
        </w:rPr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不能只看人力</w:t>
      </w:r>
    </w:p>
    <w:p>
      <w:pPr>
        <w:pStyle w:val="ListBullet2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必须看：决策速度、错误率下降、管理半径扩大</w:t>
      </w:r>
    </w:p>
    <w:p>
      <w:pPr>
        <w:pStyle w:val="Heading3"/>
      </w:pPr>
      <w:r>
        <w:rPr>
          <w:rFonts w:ascii="Microsoft YaHei" w:eastAsia="Microsoft YaHei" w:hAnsi="Microsoft YaHei" w:cs="Microsoft YaHei" w:hint="eastAsia"/>
          <w:lang w:eastAsia="zh-CN"/>
        </w:rPr>
        <w:t>六、AI重构的组织架构与风险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 xml:space="preserve">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不是替代人，而是重构</w:t>
      </w:r>
      <w:r>
        <w:rPr>
          <w:color w:val="4B5563"/>
          <w:sz w:val="21"/>
        </w:rPr>
        <w:t>“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谁负责决策</w:t>
      </w:r>
      <w:r>
        <w:rPr>
          <w:color w:val="4B5563"/>
          <w:sz w:val="21"/>
        </w:rPr>
        <w:t>”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 xml:space="preserve">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对三类岗位的冲击：执行型</w:t>
      </w:r>
      <w:r>
        <w:rPr>
          <w:color w:val="4B5563"/>
          <w:sz w:val="21"/>
        </w:rPr>
        <w:t xml:space="preserve"> /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分析型</w:t>
      </w:r>
      <w:r>
        <w:rPr>
          <w:color w:val="4B5563"/>
          <w:sz w:val="21"/>
        </w:rPr>
        <w:t xml:space="preserve"> /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判断型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管理层的角色变化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为什么</w:t>
      </w: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时代中层最危险，但也是最有价值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组织层面的关键设计</w:t>
      </w:r>
    </w:p>
    <w:p>
      <w:pPr>
        <w:pStyle w:val="ListBullet"/>
        <w:spacing w:line="408" w:lineRule="auto"/>
      </w:pPr>
      <w:r>
        <w:rPr>
          <w:color w:val="4B5563"/>
          <w:sz w:val="21"/>
        </w:rPr>
        <w:t>AI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时代的五类核心风险及管理</w:t>
      </w:r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05　配套资料与工具</w:t>
      </w:r>
    </w:p>
    <w:p>
      <w:pPr>
        <w:spacing w:before="0" w:after="160"/>
      </w:pP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报名即得：专属授课网站、提示词框架与网站清单、</w:t>
      </w:r>
      <w:r>
        <w:rPr>
          <w:rFonts w:ascii="Microsoft YaHei" w:hAnsi="Microsoft YaHei"/>
          <w:color w:val="8B95A7"/>
          <w:sz w:val="19"/>
        </w:rPr>
        <w:t xml:space="preserve">AI </w:t>
      </w:r>
      <w:r>
        <w:rPr>
          <w:rFonts w:ascii="Microsoft YaHei" w:hAnsi="Microsoft YaHei" w:eastAsia="Microsoft YaHei" w:cs="Microsoft YaHei" w:hint="eastAsia"/>
          <w:color w:val="8B95A7"/>
          <w:sz w:val="19"/>
          <w:lang w:eastAsia="zh-CN"/>
        </w:rPr>
        <w:t>工具资源，课后长期有效。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网站访问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：专门为本课程开发的网站，长期有效。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提示词框架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：提供四大提示词框架以供指导。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提示词网站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：十个以上优质提示词网站。</w:t>
      </w:r>
    </w:p>
    <w:p>
      <w:pPr>
        <w:pStyle w:val="ListBullet"/>
        <w:spacing w:line="408" w:lineRule="auto"/>
      </w:pPr>
      <w:r>
        <w:rPr>
          <w:rFonts w:ascii="Microsoft YaHei" w:eastAsia="Microsoft YaHei" w:hAnsi="Microsoft YaHei" w:cs="Microsoft YaHei" w:hint="eastAsia"/>
          <w:b w:val="0"/>
          <w:color w:val="4B5563"/>
          <w:sz w:val="21"/>
          <w:lang w:eastAsia="zh-CN"/>
        </w:rPr>
        <w:t>AI 工具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：十个以上优质</w:t>
      </w:r>
      <w:r>
        <w:rPr>
          <w:color w:val="4B5563"/>
          <w:sz w:val="21"/>
        </w:rPr>
        <w:t xml:space="preserve"> AI </w:t>
      </w:r>
      <w:r>
        <w:rPr>
          <w:rFonts w:ascii="Microsoft YaHei" w:eastAsia="Microsoft YaHei" w:hAnsi="Microsoft YaHei" w:cs="Microsoft YaHei" w:hint="eastAsia"/>
          <w:color w:val="4B5563"/>
          <w:sz w:val="21"/>
          <w:lang w:eastAsia="zh-CN"/>
        </w:rPr>
        <w:t>工具资源网站。</w:t>
      </w:r>
    </w:p>
    <w:p>
      <w:pPr/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可结合企业所处行业与转型阶段调整案例与讨论议题，配套专属授课网站（含决策框架与案例资料）。</w:t>
      </w:r>
    </w:p>
    <w:p>
      <w:pPr/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杨洪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｜</w:t>
      </w:r>
      <w:r>
        <w:rPr>
          <w:rFonts w:ascii="Microsoft YaHei" w:hAnsi="Microsoft YaHei"/>
          <w:color w:val="8B95A7"/>
          <w:sz w:val="18"/>
        </w:rPr>
        <w:t xml:space="preserve"> AI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赋能企业数智化专家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｜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中</w:t>
      </w:r>
      <w:r>
        <w:rPr>
          <w:rFonts w:ascii="Microsoft YaHei" w:hAnsi="Microsoft YaHei"/>
          <w:color w:val="8B95A7"/>
          <w:sz w:val="18"/>
        </w:rPr>
        <w:t xml:space="preserve"> /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英</w:t>
      </w:r>
      <w:r>
        <w:rPr>
          <w:rFonts w:ascii="Microsoft YaHei" w:hAnsi="Microsoft YaHei"/>
          <w:color w:val="8B95A7"/>
          <w:sz w:val="18"/>
        </w:rPr>
        <w:t xml:space="preserve"> /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粤</w:t>
      </w:r>
      <w:r>
        <w:rPr>
          <w:rFonts w:ascii="Microsoft YaHei" w:hAnsi="Microsoft YaHei"/>
          <w:color w:val="8B95A7"/>
          <w:sz w:val="18"/>
        </w:rPr>
        <w:t xml:space="preserve"> </w:t>
      </w:r>
      <w:r>
        <w:rPr>
          <w:rFonts w:ascii="Microsoft YaHei" w:hAnsi="Microsoft YaHei" w:eastAsia="Microsoft YaHei" w:cs="Microsoft YaHei" w:hint="eastAsia"/>
          <w:color w:val="8B95A7"/>
          <w:sz w:val="18"/>
          <w:lang w:eastAsia="zh-CN"/>
        </w:rPr>
        <w:t>三语授课</w:t>
      </w:r>
      <w:r/>
      <w:r/>
      <w:r/>
    </w:p>
    <w:sectPr w:rsidR="00FC693F" w:rsidRPr="0006063C" w:rsidSect="00034616">
      <w:pgSz w:w="11906" w:h="16838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592" w:val="center"/>
        <w:tab w:pos="9184" w:val="right"/>
      </w:tabs>
    </w:pPr>
    <w:r>
      <w:tab/>
    </w:r>
    <w:r>
      <w:t xml:space="preserve">杨洪 ｜ AI 赋能企业数智化专家 ｜ 第 </w:t>
    </w:r>
    <w:fldSimple w:instr="PAGE">
      <w:r>
        <w:t/>
      </w:r>
    </w:fldSimple>
    <w:r>
      <w:t xml:space="preserve"> 页 / 共 </w:t>
    </w:r>
    <w:fldSimple w:instr="NUMPAGES">
      <w:r>
        <w:t/>
      </w:r>
    </w:fldSimple>
    <w:r>
      <w:t xml:space="preserve"> 页</w:t>
    </w:r>
    <w:r>
      <w:tab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57" w:lineRule="auto" w:before="60" w:after="100"/>
    </w:pPr>
    <w:rPr>
      <w:rFonts w:ascii="Microsoft YaHei" w:hAnsi="Microsoft YaHei" w:eastAsia="Microsoft YaHei"/>
      <w:color w:val="4B556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200" w:line="275" w:lineRule="auto"/>
      <w:outlineLvl w:val="0"/>
    </w:pPr>
    <w:rPr>
      <w:rFonts w:ascii="Microsoft YaHei" w:hAnsi="Microsoft YaHei" w:eastAsia="Microsoft YaHei"/>
      <w:b/>
      <w:bCs/>
      <w:color w:val="0B1220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400" w:after="120"/>
      <w:outlineLvl w:val="1"/>
    </w:pPr>
    <w:rPr>
      <w:rFonts w:ascii="Microsoft YaHei" w:hAnsi="Microsoft YaHei" w:eastAsia="Microsoft YaHei"/>
      <w:b/>
      <w:bCs/>
      <w:color w:val="0B1220"/>
      <w:sz w:val="2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80"/>
      <w:outlineLvl w:val="2"/>
    </w:pPr>
    <w:rPr>
      <w:rFonts w:ascii="Microsoft YaHei" w:hAnsi="Microsoft YaHei" w:eastAsia="Microsoft YaHei"/>
      <w:b/>
      <w:bCs/>
      <w:color w:val="153FB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80"/>
      <w:outlineLvl w:val="3"/>
    </w:pPr>
    <w:rPr>
      <w:rFonts w:ascii="Microsoft YaHei" w:hAnsi="Microsoft YaHei" w:eastAsia="Microsoft YaHei"/>
      <w:b/>
      <w:bCs/>
      <w:i/>
      <w:iCs/>
      <w:color w:val="1C2637"/>
      <w:sz w:val="2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